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E881" w14:textId="77777777" w:rsidR="00ED421E" w:rsidRPr="00ED421E" w:rsidRDefault="00ED421E" w:rsidP="00ED421E">
      <w:pPr>
        <w:jc w:val="center"/>
        <w:rPr>
          <w:rFonts w:ascii="Arial" w:hAnsi="Arial" w:cs="Arial"/>
          <w:b/>
          <w:bCs/>
          <w:lang w:val="es-MX"/>
        </w:rPr>
      </w:pPr>
      <w:r w:rsidRPr="00ED421E">
        <w:rPr>
          <w:rFonts w:ascii="Arial" w:hAnsi="Arial" w:cs="Arial"/>
          <w:b/>
          <w:bCs/>
          <w:lang w:val="es-MX"/>
        </w:rPr>
        <w:t>BENEFICIAN ANA PATY PERALTA Y MARA LEZAMA A CANCÚN CON MEJOR INFRAESTRUCTURA VIAL</w:t>
      </w:r>
    </w:p>
    <w:p w14:paraId="52698FF4" w14:textId="77777777" w:rsidR="00ED421E" w:rsidRPr="00ED421E" w:rsidRDefault="00ED421E" w:rsidP="00ED421E">
      <w:pPr>
        <w:jc w:val="both"/>
        <w:rPr>
          <w:rFonts w:ascii="Arial" w:hAnsi="Arial" w:cs="Arial"/>
          <w:b/>
          <w:bCs/>
          <w:lang w:val="es-MX"/>
        </w:rPr>
      </w:pPr>
    </w:p>
    <w:p w14:paraId="36C45D7B" w14:textId="420B7033" w:rsidR="00ED421E" w:rsidRPr="00ED421E" w:rsidRDefault="00ED421E" w:rsidP="00ED421E">
      <w:pPr>
        <w:jc w:val="both"/>
        <w:rPr>
          <w:rFonts w:ascii="Arial" w:hAnsi="Arial" w:cs="Arial"/>
          <w:lang w:val="es-MX"/>
        </w:rPr>
      </w:pPr>
      <w:r w:rsidRPr="00ED421E">
        <w:rPr>
          <w:rFonts w:ascii="Arial" w:hAnsi="Arial" w:cs="Arial"/>
          <w:b/>
          <w:bCs/>
          <w:lang w:val="es-MX"/>
        </w:rPr>
        <w:t>Cancún, Q. R., a 02 de junio de 2026.-</w:t>
      </w:r>
      <w:r w:rsidRPr="00ED421E">
        <w:rPr>
          <w:rFonts w:ascii="Arial" w:hAnsi="Arial" w:cs="Arial"/>
          <w:lang w:val="es-MX"/>
        </w:rPr>
        <w:t xml:space="preserve"> La </w:t>
      </w:r>
      <w:proofErr w:type="gramStart"/>
      <w:r w:rsidRPr="00ED421E">
        <w:rPr>
          <w:rFonts w:ascii="Arial" w:hAnsi="Arial" w:cs="Arial"/>
          <w:lang w:val="es-MX"/>
        </w:rPr>
        <w:t>Presidenta</w:t>
      </w:r>
      <w:proofErr w:type="gramEnd"/>
      <w:r w:rsidRPr="00ED421E">
        <w:rPr>
          <w:rFonts w:ascii="Arial" w:hAnsi="Arial" w:cs="Arial"/>
          <w:lang w:val="es-MX"/>
        </w:rPr>
        <w:t xml:space="preserve"> Municipal, Ana Paty Peralta, y la </w:t>
      </w:r>
      <w:r>
        <w:rPr>
          <w:rFonts w:ascii="Arial" w:hAnsi="Arial" w:cs="Arial"/>
          <w:lang w:val="es-MX"/>
        </w:rPr>
        <w:t>G</w:t>
      </w:r>
      <w:r w:rsidRPr="00ED421E">
        <w:rPr>
          <w:rFonts w:ascii="Arial" w:hAnsi="Arial" w:cs="Arial"/>
          <w:lang w:val="es-MX"/>
        </w:rPr>
        <w:t>obernadora</w:t>
      </w:r>
      <w:r>
        <w:rPr>
          <w:rFonts w:ascii="Arial" w:hAnsi="Arial" w:cs="Arial"/>
          <w:lang w:val="es-MX"/>
        </w:rPr>
        <w:t>,</w:t>
      </w:r>
      <w:r w:rsidRPr="00ED421E">
        <w:rPr>
          <w:rFonts w:ascii="Arial" w:hAnsi="Arial" w:cs="Arial"/>
          <w:lang w:val="es-MX"/>
        </w:rPr>
        <w:t xml:space="preserve"> Mara Lezama, entregaron de forma simbólica diferentes trabajos de reconstrucción en la calle 82, en las inmediaciones de la Universidad del Caribe, culminadas para mejorar la calidad de vida de los ciudadanos y estudiantes en Cancún. </w:t>
      </w:r>
    </w:p>
    <w:p w14:paraId="2643095B" w14:textId="77777777" w:rsidR="00ED421E" w:rsidRPr="00ED421E" w:rsidRDefault="00ED421E" w:rsidP="00ED421E">
      <w:pPr>
        <w:jc w:val="both"/>
        <w:rPr>
          <w:rFonts w:ascii="Arial" w:hAnsi="Arial" w:cs="Arial"/>
          <w:lang w:val="es-MX"/>
        </w:rPr>
      </w:pPr>
    </w:p>
    <w:p w14:paraId="74CAC172" w14:textId="7CD0A4F1" w:rsidR="00ED421E" w:rsidRPr="00ED421E" w:rsidRDefault="00ED421E" w:rsidP="00ED421E">
      <w:pPr>
        <w:jc w:val="both"/>
        <w:rPr>
          <w:rFonts w:ascii="Arial" w:hAnsi="Arial" w:cs="Arial"/>
          <w:lang w:val="es-MX"/>
        </w:rPr>
      </w:pPr>
      <w:r w:rsidRPr="00ED421E">
        <w:rPr>
          <w:rFonts w:ascii="Arial" w:hAnsi="Arial" w:cs="Arial"/>
          <w:lang w:val="es-MX"/>
        </w:rPr>
        <w:t>“Más de 33 millones de pesos en una obra comple</w:t>
      </w:r>
      <w:r>
        <w:rPr>
          <w:rFonts w:ascii="Arial" w:hAnsi="Arial" w:cs="Arial"/>
          <w:lang w:val="es-MX"/>
        </w:rPr>
        <w:t>ta</w:t>
      </w:r>
      <w:r w:rsidRPr="00ED421E">
        <w:rPr>
          <w:rFonts w:ascii="Arial" w:hAnsi="Arial" w:cs="Arial"/>
          <w:lang w:val="es-MX"/>
        </w:rPr>
        <w:t xml:space="preserve">mente integral: guarniciones y banquetas, concreto hidráulico, pozos de absorción, para este entorno universitario y todas las colonias que están alrededor”, informó la Primera Autoridad Municipal. </w:t>
      </w:r>
    </w:p>
    <w:p w14:paraId="216C2701" w14:textId="77777777" w:rsidR="00ED421E" w:rsidRPr="00ED421E" w:rsidRDefault="00ED421E" w:rsidP="00ED421E">
      <w:pPr>
        <w:jc w:val="both"/>
        <w:rPr>
          <w:rFonts w:ascii="Arial" w:hAnsi="Arial" w:cs="Arial"/>
          <w:lang w:val="es-MX"/>
        </w:rPr>
      </w:pPr>
    </w:p>
    <w:p w14:paraId="4D211D1E" w14:textId="77777777" w:rsidR="00ED421E" w:rsidRPr="00ED421E" w:rsidRDefault="00ED421E" w:rsidP="00ED421E">
      <w:pPr>
        <w:jc w:val="both"/>
        <w:rPr>
          <w:rFonts w:ascii="Arial" w:hAnsi="Arial" w:cs="Arial"/>
          <w:lang w:val="es-MX"/>
        </w:rPr>
      </w:pPr>
      <w:r w:rsidRPr="00ED421E">
        <w:rPr>
          <w:rFonts w:ascii="Arial" w:hAnsi="Arial" w:cs="Arial"/>
          <w:lang w:val="es-MX"/>
        </w:rPr>
        <w:t xml:space="preserve">Ana Paty Peralta indicó que además la vialidad renovada, que antes era llamada 88 y fue nombrada Calle </w:t>
      </w:r>
      <w:proofErr w:type="spellStart"/>
      <w:r w:rsidRPr="00ED421E">
        <w:rPr>
          <w:rFonts w:ascii="Arial" w:hAnsi="Arial" w:cs="Arial"/>
          <w:lang w:val="es-MX"/>
        </w:rPr>
        <w:t>Unicaribe</w:t>
      </w:r>
      <w:proofErr w:type="spellEnd"/>
      <w:r w:rsidRPr="00ED421E">
        <w:rPr>
          <w:rFonts w:ascii="Arial" w:hAnsi="Arial" w:cs="Arial"/>
          <w:lang w:val="es-MX"/>
        </w:rPr>
        <w:t xml:space="preserve">, conecta a la Calle 45-A con un sendero seguro que conforma 1.5 kilómetros, en el que se colocaron las luminarias para proporcionar seguridad a los usuarios universitarios y de todas las edades. </w:t>
      </w:r>
    </w:p>
    <w:p w14:paraId="0A66D3E1" w14:textId="77777777" w:rsidR="00ED421E" w:rsidRPr="00ED421E" w:rsidRDefault="00ED421E" w:rsidP="00ED421E">
      <w:pPr>
        <w:jc w:val="both"/>
        <w:rPr>
          <w:rFonts w:ascii="Arial" w:hAnsi="Arial" w:cs="Arial"/>
          <w:lang w:val="es-MX"/>
        </w:rPr>
      </w:pPr>
    </w:p>
    <w:p w14:paraId="25DB1942" w14:textId="5634004B" w:rsidR="00ED421E" w:rsidRPr="00ED421E" w:rsidRDefault="00ED421E" w:rsidP="00ED421E">
      <w:pPr>
        <w:jc w:val="both"/>
        <w:rPr>
          <w:rFonts w:ascii="Arial" w:hAnsi="Arial" w:cs="Arial"/>
          <w:lang w:val="es-MX"/>
        </w:rPr>
      </w:pPr>
      <w:r w:rsidRPr="00ED421E">
        <w:rPr>
          <w:rFonts w:ascii="Arial" w:hAnsi="Arial" w:cs="Arial"/>
          <w:lang w:val="es-MX"/>
        </w:rPr>
        <w:t>La Gobernadora puntualizó que los trabajos culminados forman parte del programa nacional “Entornos Seguros Universitarios”, por lo que se hicieron 500 metros lineales de concreto hidráulico de 15 centímetros de espesor y 182 metros lineales de concreto asfáltico.</w:t>
      </w:r>
    </w:p>
    <w:p w14:paraId="6164CD7E" w14:textId="77777777" w:rsidR="00ED421E" w:rsidRPr="00ED421E" w:rsidRDefault="00ED421E" w:rsidP="00ED421E">
      <w:pPr>
        <w:jc w:val="both"/>
        <w:rPr>
          <w:rFonts w:ascii="Arial" w:hAnsi="Arial" w:cs="Arial"/>
          <w:lang w:val="es-MX"/>
        </w:rPr>
      </w:pPr>
    </w:p>
    <w:p w14:paraId="732C56C7" w14:textId="77777777" w:rsidR="00ED421E" w:rsidRPr="00ED421E" w:rsidRDefault="00ED421E" w:rsidP="00ED421E">
      <w:pPr>
        <w:jc w:val="both"/>
        <w:rPr>
          <w:rFonts w:ascii="Arial" w:hAnsi="Arial" w:cs="Arial"/>
          <w:lang w:val="es-MX"/>
        </w:rPr>
      </w:pPr>
      <w:r w:rsidRPr="00ED421E">
        <w:rPr>
          <w:rFonts w:ascii="Arial" w:hAnsi="Arial" w:cs="Arial"/>
          <w:lang w:val="es-MX"/>
        </w:rPr>
        <w:t xml:space="preserve">Adicionalmente, mencionó que se contemplaron pozos de absorción y se hicieron todas las supervisiones previas para colocar esa infraestructura, a efecto de que la vialidad no se inunde en caso de lluvias, por lo que se realizó una interconexión con el manglar cercano a la zona. </w:t>
      </w:r>
    </w:p>
    <w:p w14:paraId="070A01BD" w14:textId="77777777" w:rsidR="00ED421E" w:rsidRPr="00ED421E" w:rsidRDefault="00ED421E" w:rsidP="00ED421E">
      <w:pPr>
        <w:jc w:val="both"/>
        <w:rPr>
          <w:rFonts w:ascii="Arial" w:hAnsi="Arial" w:cs="Arial"/>
          <w:lang w:val="es-MX"/>
        </w:rPr>
      </w:pPr>
    </w:p>
    <w:p w14:paraId="25F16370" w14:textId="77777777" w:rsidR="00ED421E" w:rsidRPr="00ED421E" w:rsidRDefault="00ED421E" w:rsidP="00ED421E">
      <w:pPr>
        <w:jc w:val="both"/>
        <w:rPr>
          <w:rFonts w:ascii="Arial" w:hAnsi="Arial" w:cs="Arial"/>
          <w:lang w:val="es-MX"/>
        </w:rPr>
      </w:pPr>
      <w:r w:rsidRPr="00ED421E">
        <w:rPr>
          <w:rFonts w:ascii="Arial" w:hAnsi="Arial" w:cs="Arial"/>
          <w:lang w:val="es-MX"/>
        </w:rPr>
        <w:t xml:space="preserve">En el sitio, ambas autoridades develaron una placa que incluye un código QR con las características y detalle en cuanto a inversión realizada en el sitio, para garantizar que es un proyecto transparente en la que se aprovecharon debidamente los recursos. </w:t>
      </w:r>
    </w:p>
    <w:p w14:paraId="388086DF" w14:textId="77777777" w:rsidR="00ED421E" w:rsidRPr="00ED421E" w:rsidRDefault="00ED421E" w:rsidP="00ED421E">
      <w:pPr>
        <w:jc w:val="both"/>
        <w:rPr>
          <w:rFonts w:ascii="Arial" w:hAnsi="Arial" w:cs="Arial"/>
          <w:lang w:val="es-MX"/>
        </w:rPr>
      </w:pPr>
    </w:p>
    <w:p w14:paraId="35C2E1EB" w14:textId="049B538F" w:rsidR="00ED421E" w:rsidRPr="00ED421E" w:rsidRDefault="00ED421E" w:rsidP="00ED421E">
      <w:pPr>
        <w:jc w:val="center"/>
        <w:rPr>
          <w:rFonts w:ascii="Arial" w:hAnsi="Arial" w:cs="Arial"/>
          <w:lang w:val="es-MX"/>
        </w:rPr>
      </w:pPr>
      <w:r w:rsidRPr="00ED421E">
        <w:rPr>
          <w:rFonts w:ascii="Arial" w:hAnsi="Arial" w:cs="Arial"/>
          <w:lang w:val="es-MX"/>
        </w:rPr>
        <w:t>****</w:t>
      </w:r>
      <w:r>
        <w:rPr>
          <w:rFonts w:ascii="Arial" w:hAnsi="Arial" w:cs="Arial"/>
          <w:lang w:val="es-MX"/>
        </w:rPr>
        <w:t>********</w:t>
      </w:r>
    </w:p>
    <w:p w14:paraId="1061C419" w14:textId="77777777" w:rsidR="00ED421E" w:rsidRPr="00ED421E" w:rsidRDefault="00ED421E" w:rsidP="00ED421E">
      <w:pPr>
        <w:jc w:val="center"/>
        <w:rPr>
          <w:rFonts w:ascii="Arial" w:hAnsi="Arial" w:cs="Arial"/>
          <w:b/>
          <w:bCs/>
          <w:lang w:val="es-MX"/>
        </w:rPr>
      </w:pPr>
      <w:r w:rsidRPr="00ED421E">
        <w:rPr>
          <w:rFonts w:ascii="Arial" w:hAnsi="Arial" w:cs="Arial"/>
          <w:b/>
          <w:bCs/>
          <w:lang w:val="es-MX"/>
        </w:rPr>
        <w:t>COMPLEMENTO INFORMATIVO</w:t>
      </w:r>
    </w:p>
    <w:p w14:paraId="11ACB0C0" w14:textId="77777777" w:rsidR="00ED421E" w:rsidRPr="00ED421E" w:rsidRDefault="00ED421E" w:rsidP="00ED421E">
      <w:pPr>
        <w:jc w:val="both"/>
        <w:rPr>
          <w:rFonts w:ascii="Arial" w:hAnsi="Arial" w:cs="Arial"/>
          <w:b/>
          <w:bCs/>
          <w:lang w:val="es-MX"/>
        </w:rPr>
      </w:pPr>
    </w:p>
    <w:p w14:paraId="29057C09" w14:textId="77777777" w:rsidR="00ED421E" w:rsidRPr="00ED421E" w:rsidRDefault="00ED421E" w:rsidP="00ED421E">
      <w:pPr>
        <w:jc w:val="both"/>
        <w:rPr>
          <w:rFonts w:ascii="Arial" w:hAnsi="Arial" w:cs="Arial"/>
          <w:b/>
          <w:bCs/>
          <w:lang w:val="es-MX"/>
        </w:rPr>
      </w:pPr>
      <w:r w:rsidRPr="00ED421E">
        <w:rPr>
          <w:rFonts w:ascii="Arial" w:hAnsi="Arial" w:cs="Arial"/>
          <w:b/>
          <w:bCs/>
          <w:lang w:val="es-MX"/>
        </w:rPr>
        <w:t xml:space="preserve">NUMERALIAS: </w:t>
      </w:r>
    </w:p>
    <w:p w14:paraId="52742748" w14:textId="77777777" w:rsidR="00ED421E" w:rsidRPr="00ED421E" w:rsidRDefault="00ED421E" w:rsidP="00ED421E">
      <w:pPr>
        <w:jc w:val="both"/>
        <w:rPr>
          <w:rFonts w:ascii="Arial" w:hAnsi="Arial" w:cs="Arial"/>
          <w:lang w:val="es-MX"/>
        </w:rPr>
      </w:pPr>
    </w:p>
    <w:p w14:paraId="4D13CFF8" w14:textId="77777777" w:rsidR="00ED421E" w:rsidRPr="00ED421E" w:rsidRDefault="00ED421E" w:rsidP="00ED421E">
      <w:pPr>
        <w:jc w:val="both"/>
        <w:rPr>
          <w:rFonts w:ascii="Arial" w:hAnsi="Arial" w:cs="Arial"/>
          <w:lang w:val="es-MX"/>
        </w:rPr>
      </w:pPr>
      <w:r w:rsidRPr="00ED421E">
        <w:rPr>
          <w:rFonts w:ascii="Arial" w:hAnsi="Arial" w:cs="Arial"/>
          <w:lang w:val="es-MX"/>
        </w:rPr>
        <w:t>5,488.15 metros cuadrados de pavimento de concreto hidráulico (15 cm de espesor)</w:t>
      </w:r>
    </w:p>
    <w:p w14:paraId="0C1E3CA1" w14:textId="77777777" w:rsidR="00ED421E" w:rsidRPr="00ED421E" w:rsidRDefault="00ED421E" w:rsidP="00ED421E">
      <w:pPr>
        <w:jc w:val="both"/>
        <w:rPr>
          <w:rFonts w:ascii="Arial" w:hAnsi="Arial" w:cs="Arial"/>
          <w:lang w:val="es-MX"/>
        </w:rPr>
      </w:pPr>
      <w:r w:rsidRPr="00ED421E">
        <w:rPr>
          <w:rFonts w:ascii="Arial" w:hAnsi="Arial" w:cs="Arial"/>
          <w:lang w:val="es-MX"/>
        </w:rPr>
        <w:t>2,256.86 metros lineales de señalamiento horizontal</w:t>
      </w:r>
    </w:p>
    <w:p w14:paraId="7F08B6AA" w14:textId="77777777" w:rsidR="00ED421E" w:rsidRPr="00ED421E" w:rsidRDefault="00ED421E" w:rsidP="00ED421E">
      <w:pPr>
        <w:jc w:val="both"/>
        <w:rPr>
          <w:rFonts w:ascii="Arial" w:hAnsi="Arial" w:cs="Arial"/>
          <w:lang w:val="es-MX"/>
        </w:rPr>
      </w:pPr>
      <w:r w:rsidRPr="00ED421E">
        <w:rPr>
          <w:rFonts w:ascii="Arial" w:hAnsi="Arial" w:cs="Arial"/>
          <w:lang w:val="es-MX"/>
        </w:rPr>
        <w:t>1,608.25 metros cuadrados de banqueta de concreto</w:t>
      </w:r>
    </w:p>
    <w:p w14:paraId="0C549138" w14:textId="77777777" w:rsidR="00ED421E" w:rsidRPr="00ED421E" w:rsidRDefault="00ED421E" w:rsidP="00ED421E">
      <w:pPr>
        <w:jc w:val="both"/>
        <w:rPr>
          <w:rFonts w:ascii="Arial" w:hAnsi="Arial" w:cs="Arial"/>
          <w:lang w:val="es-MX"/>
        </w:rPr>
      </w:pPr>
      <w:r w:rsidRPr="00ED421E">
        <w:rPr>
          <w:rFonts w:ascii="Arial" w:hAnsi="Arial" w:cs="Arial"/>
          <w:lang w:val="es-MX"/>
        </w:rPr>
        <w:t>1,227.43 metros lineales de guarnición de concreto</w:t>
      </w:r>
    </w:p>
    <w:p w14:paraId="2353D5C1" w14:textId="77777777" w:rsidR="00ED421E" w:rsidRPr="00ED421E" w:rsidRDefault="00ED421E" w:rsidP="00ED421E">
      <w:pPr>
        <w:jc w:val="both"/>
        <w:rPr>
          <w:rFonts w:ascii="Arial" w:hAnsi="Arial" w:cs="Arial"/>
          <w:lang w:val="es-MX"/>
        </w:rPr>
      </w:pPr>
      <w:r w:rsidRPr="00ED421E">
        <w:rPr>
          <w:rFonts w:ascii="Arial" w:hAnsi="Arial" w:cs="Arial"/>
          <w:lang w:val="es-MX"/>
        </w:rPr>
        <w:lastRenderedPageBreak/>
        <w:t>888.17 metros cuadrados de carpeta asfáltica de 7 cm de espesor</w:t>
      </w:r>
    </w:p>
    <w:p w14:paraId="623C20BB" w14:textId="77777777" w:rsidR="00ED421E" w:rsidRPr="00ED421E" w:rsidRDefault="00ED421E" w:rsidP="00ED421E">
      <w:pPr>
        <w:jc w:val="both"/>
        <w:rPr>
          <w:rFonts w:ascii="Arial" w:hAnsi="Arial" w:cs="Arial"/>
          <w:lang w:val="es-MX"/>
        </w:rPr>
      </w:pPr>
      <w:r w:rsidRPr="00ED421E">
        <w:rPr>
          <w:rFonts w:ascii="Arial" w:hAnsi="Arial" w:cs="Arial"/>
          <w:lang w:val="es-MX"/>
        </w:rPr>
        <w:t>56.04 metros cuadrados de rampa de concreto</w:t>
      </w:r>
    </w:p>
    <w:p w14:paraId="37C09B0C" w14:textId="77777777" w:rsidR="00ED421E" w:rsidRPr="00ED421E" w:rsidRDefault="00ED421E" w:rsidP="00ED421E">
      <w:pPr>
        <w:jc w:val="both"/>
        <w:rPr>
          <w:rFonts w:ascii="Arial" w:hAnsi="Arial" w:cs="Arial"/>
          <w:lang w:val="es-MX"/>
        </w:rPr>
      </w:pPr>
      <w:r w:rsidRPr="00ED421E">
        <w:rPr>
          <w:rFonts w:ascii="Arial" w:hAnsi="Arial" w:cs="Arial"/>
          <w:lang w:val="es-MX"/>
        </w:rPr>
        <w:t xml:space="preserve">2 piezas de pozos de absorción </w:t>
      </w:r>
    </w:p>
    <w:p w14:paraId="7308F186" w14:textId="77777777" w:rsidR="00ED421E" w:rsidRPr="00ED421E" w:rsidRDefault="00ED421E" w:rsidP="00ED421E">
      <w:pPr>
        <w:jc w:val="both"/>
        <w:rPr>
          <w:rFonts w:ascii="Arial" w:hAnsi="Arial" w:cs="Arial"/>
          <w:lang w:val="es-MX"/>
        </w:rPr>
      </w:pPr>
      <w:r w:rsidRPr="00ED421E">
        <w:rPr>
          <w:rFonts w:ascii="Arial" w:hAnsi="Arial" w:cs="Arial"/>
          <w:lang w:val="es-MX"/>
        </w:rPr>
        <w:t>27 piezas de luminaria Led 100W</w:t>
      </w:r>
    </w:p>
    <w:p w14:paraId="39269D89" w14:textId="77777777" w:rsidR="00ED421E" w:rsidRPr="00ED421E" w:rsidRDefault="00ED421E" w:rsidP="00ED421E">
      <w:pPr>
        <w:jc w:val="both"/>
        <w:rPr>
          <w:rFonts w:ascii="Arial" w:hAnsi="Arial" w:cs="Arial"/>
          <w:lang w:val="es-MX"/>
        </w:rPr>
      </w:pPr>
      <w:r w:rsidRPr="00ED421E">
        <w:rPr>
          <w:rFonts w:ascii="Arial" w:hAnsi="Arial" w:cs="Arial"/>
          <w:lang w:val="es-MX"/>
        </w:rPr>
        <w:t>27 piezas de señalamiento vertical</w:t>
      </w:r>
    </w:p>
    <w:p w14:paraId="1976745A" w14:textId="77777777" w:rsidR="00ED421E" w:rsidRPr="00ED421E" w:rsidRDefault="00ED421E" w:rsidP="00ED421E">
      <w:pPr>
        <w:jc w:val="both"/>
        <w:rPr>
          <w:rFonts w:ascii="Arial" w:hAnsi="Arial" w:cs="Arial"/>
          <w:lang w:val="es-MX"/>
        </w:rPr>
      </w:pPr>
      <w:r w:rsidRPr="00ED421E">
        <w:rPr>
          <w:rFonts w:ascii="Arial" w:hAnsi="Arial" w:cs="Arial"/>
          <w:lang w:val="es-MX"/>
        </w:rPr>
        <w:t>6 piezas luminaria vial led150w</w:t>
      </w:r>
    </w:p>
    <w:p w14:paraId="3BD0EF60" w14:textId="705A6387" w:rsidR="00B6134E" w:rsidRPr="00ED421E" w:rsidRDefault="00ED421E" w:rsidP="00ED421E">
      <w:pPr>
        <w:jc w:val="both"/>
        <w:rPr>
          <w:rFonts w:ascii="Arial" w:hAnsi="Arial" w:cs="Arial"/>
        </w:rPr>
      </w:pPr>
      <w:r w:rsidRPr="00ED421E">
        <w:rPr>
          <w:rFonts w:ascii="Arial" w:hAnsi="Arial" w:cs="Arial"/>
        </w:rPr>
        <w:t xml:space="preserve">1 </w:t>
      </w:r>
      <w:proofErr w:type="spellStart"/>
      <w:r w:rsidRPr="00ED421E">
        <w:rPr>
          <w:rFonts w:ascii="Arial" w:hAnsi="Arial" w:cs="Arial"/>
        </w:rPr>
        <w:t>transformador</w:t>
      </w:r>
      <w:proofErr w:type="spellEnd"/>
      <w:r w:rsidRPr="00ED421E">
        <w:rPr>
          <w:rFonts w:ascii="Arial" w:hAnsi="Arial" w:cs="Arial"/>
        </w:rPr>
        <w:t xml:space="preserve"> </w:t>
      </w:r>
      <w:proofErr w:type="spellStart"/>
      <w:r w:rsidRPr="00ED421E">
        <w:rPr>
          <w:rFonts w:ascii="Arial" w:hAnsi="Arial" w:cs="Arial"/>
        </w:rPr>
        <w:t>monofásico</w:t>
      </w:r>
      <w:proofErr w:type="spellEnd"/>
      <w:r w:rsidRPr="00ED421E">
        <w:rPr>
          <w:rFonts w:ascii="Arial" w:hAnsi="Arial" w:cs="Arial"/>
        </w:rPr>
        <w:t xml:space="preserve"> de 15 KVA</w:t>
      </w:r>
    </w:p>
    <w:sectPr w:rsidR="00B6134E" w:rsidRPr="00ED421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6E53" w14:textId="77777777" w:rsidR="00A64C20" w:rsidRDefault="00A64C20">
      <w:r>
        <w:separator/>
      </w:r>
    </w:p>
  </w:endnote>
  <w:endnote w:type="continuationSeparator" w:id="0">
    <w:p w14:paraId="50E6D3A3" w14:textId="77777777" w:rsidR="00A64C20" w:rsidRDefault="00A6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C05F" w14:textId="77777777" w:rsidR="00A64C20" w:rsidRDefault="00A64C20">
      <w:r>
        <w:separator/>
      </w:r>
    </w:p>
  </w:footnote>
  <w:footnote w:type="continuationSeparator" w:id="0">
    <w:p w14:paraId="7145D34B" w14:textId="77777777" w:rsidR="00A64C20" w:rsidRDefault="00A6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10DCFF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D421E">
                            <w:rPr>
                              <w:rFonts w:cstheme="minorHAnsi"/>
                              <w:b/>
                              <w:bCs/>
                              <w:lang w:val="es-ES"/>
                            </w:rPr>
                            <w:t>44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10DCFF6"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D421E">
                      <w:rPr>
                        <w:rFonts w:cstheme="minorHAnsi"/>
                        <w:b/>
                        <w:bCs/>
                        <w:lang w:val="es-ES"/>
                      </w:rPr>
                      <w:t>44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7"/>
  </w:num>
  <w:num w:numId="4" w16cid:durableId="82141875">
    <w:abstractNumId w:val="3"/>
  </w:num>
  <w:num w:numId="5" w16cid:durableId="1630281003">
    <w:abstractNumId w:val="2"/>
  </w:num>
  <w:num w:numId="6" w16cid:durableId="150485768">
    <w:abstractNumId w:val="6"/>
  </w:num>
  <w:num w:numId="7" w16cid:durableId="345254133">
    <w:abstractNumId w:val="8"/>
  </w:num>
  <w:num w:numId="8" w16cid:durableId="1599173036">
    <w:abstractNumId w:val="1"/>
  </w:num>
  <w:num w:numId="9" w16cid:durableId="1068576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53DB"/>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4C20"/>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2026-06-02T22:45:00Z</dcterms:created>
  <dcterms:modified xsi:type="dcterms:W3CDTF">2026-06-02T22:45:00Z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